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_rels/document.xml.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rPr>
          <w:rFonts w:ascii="Century Gothic" w:hAnsi="Century Gothic"/>
          <w:b/>
          <w:color w:val="FF3333"/>
          <w:sz w:val="24"/>
        </w:rPr>
      </w:pPr>
      <w:r>
        <w:rPr>
          <w:rFonts w:ascii="Century Gothic" w:hAnsi="Century Gothic"/>
          <w:b/>
          <w:color w:val="FF3333"/>
          <w:sz w:val="24"/>
        </w:rPr>
      </w:r>
    </w:p>
    <w:p>
      <w:pPr>
        <w:pStyle w:val="TextBody"/>
        <w:rPr>
          <w:rFonts w:ascii="Century Gothic" w:hAnsi="Century Gothic"/>
          <w:b/>
          <w:color w:val="FF3333"/>
          <w:sz w:val="24"/>
        </w:rPr>
      </w:pPr>
      <w:r>
        <w:rPr>
          <w:rFonts w:ascii="Century Gothic" w:hAnsi="Century Gothic"/>
          <w:b/>
          <w:color w:val="FF3333"/>
          <w:sz w:val="24"/>
        </w:rPr>
      </w:r>
    </w:p>
    <w:p>
      <w:pPr>
        <w:pStyle w:val="Normal"/>
        <w:rPr>
          <w:rFonts w:ascii="Century Gothic" w:hAnsi="Century Gothic"/>
          <w:b/>
          <w:color w:val="FF3333"/>
          <w:sz w:val="24"/>
        </w:rPr>
      </w:pPr>
      <w:r>
        <w:rPr>
          <w:rFonts w:ascii="@ÌÆ·˛" w:hAnsi="@ÌÆ·˛"/>
          <w:b/>
          <w:color w:val="E94A27"/>
          <w:sz w:val="56"/>
        </w:rPr>
        <w:t>CANOPY</w:t>
      </w:r>
    </w:p>
    <w:p>
      <w:pPr>
        <w:pStyle w:val="Normal"/>
        <w:rPr>
          <w:rFonts w:ascii="@ÌÆ·˛" w:hAnsi="@ÌÆ·˛"/>
          <w:color w:val="000000"/>
          <w:sz w:val="24"/>
        </w:rPr>
      </w:pPr>
      <w:r>
        <w:rPr>
          <w:rFonts w:ascii="Century Gothic" w:hAnsi="Century Gothic"/>
          <w:b/>
          <w:color w:val="FF3333"/>
          <w:sz w:val="24"/>
        </w:rPr>
      </w:r>
    </w:p>
    <w:p>
      <w:pPr>
        <w:pStyle w:val="TextBody"/>
        <w:rPr>
          <w:rFonts w:ascii="Century Gothic" w:hAnsi="Century Gothic"/>
          <w:b/>
          <w:color w:val="000000"/>
          <w:sz w:val="24"/>
        </w:rPr>
      </w:pPr>
      <w:r>
        <w:rPr>
          <w:rFonts w:ascii="Century Gothic" w:hAnsi="Century Gothic"/>
          <w:b/>
          <w:color w:val="000000"/>
          <w:sz w:val="24"/>
        </w:rPr>
        <w:t>Canopy</w:t>
      </w:r>
      <w:r>
        <w:rPr>
          <w:rFonts w:ascii="Century Gothic" w:hAnsi="Century Gothic"/>
          <w:b/>
          <w:color w:val="000000"/>
          <w:sz w:val="24"/>
        </w:rPr>
        <w:t xml:space="preserve"> </w:t>
      </w:r>
      <w:r>
        <w:rPr>
          <w:rFonts w:ascii="Century Gothic" w:hAnsi="Century Gothic"/>
          <w:b/>
          <w:color w:val="000000"/>
          <w:sz w:val="24"/>
        </w:rPr>
        <w:t xml:space="preserve">Child and the Vulnerable </w:t>
      </w:r>
      <w:r>
        <w:rPr>
          <w:rFonts w:ascii="Century Gothic" w:hAnsi="Century Gothic"/>
          <w:b/>
          <w:color w:val="000000"/>
          <w:sz w:val="24"/>
        </w:rPr>
        <w:t xml:space="preserve">Safeguarding Policy Statement </w:t>
      </w:r>
    </w:p>
    <w:p>
      <w:pPr>
        <w:pStyle w:val="TextBody"/>
        <w:rPr>
          <w:rFonts w:ascii="Century Gothic" w:hAnsi="Century Gothic"/>
        </w:rPr>
      </w:pPr>
      <w:r>
        <w:rPr>
          <w:rFonts w:ascii="Century Gothic" w:hAnsi="Century Gothic"/>
          <w:sz w:val="24"/>
        </w:rPr>
        <w:t>Canopy’s</w:t>
      </w:r>
      <w:r>
        <w:rPr>
          <w:rFonts w:ascii="Century Gothic" w:hAnsi="Century Gothic"/>
          <w:sz w:val="24"/>
        </w:rPr>
        <w:t xml:space="preserve"> mission is “</w:t>
      </w:r>
      <w:r>
        <w:rPr>
          <w:rFonts w:ascii="Century Gothic" w:hAnsi="Century Gothic"/>
          <w:i/>
          <w:sz w:val="24"/>
        </w:rPr>
        <w:t xml:space="preserve">Great art and culture for everyone </w:t>
      </w:r>
      <w:r>
        <w:rPr>
          <w:rFonts w:ascii="Century Gothic" w:hAnsi="Century Gothic"/>
          <w:i/>
          <w:sz w:val="24"/>
        </w:rPr>
        <w:t>in the forest</w:t>
      </w:r>
      <w:r>
        <w:rPr>
          <w:rFonts w:ascii="Century Gothic" w:hAnsi="Century Gothic"/>
        </w:rPr>
        <w:t>”</w:t>
      </w:r>
      <w:r>
        <w:rPr>
          <w:rFonts w:ascii="Century Gothic" w:hAnsi="Century Gothic"/>
          <w:sz w:val="24"/>
        </w:rPr>
        <w:t xml:space="preserve">, and one of our specific goals is to promote opportunities </w:t>
      </w:r>
      <w:r>
        <w:rPr>
          <w:rFonts w:ascii="Century Gothic" w:hAnsi="Century Gothic"/>
          <w:i/>
          <w:sz w:val="24"/>
        </w:rPr>
        <w:t xml:space="preserve">for every child </w:t>
      </w:r>
      <w:r>
        <w:rPr>
          <w:rFonts w:ascii="Century Gothic" w:hAnsi="Century Gothic"/>
          <w:i/>
          <w:sz w:val="24"/>
        </w:rPr>
        <w:t xml:space="preserve">and vulnerable person </w:t>
      </w:r>
      <w:r>
        <w:rPr>
          <w:rFonts w:ascii="Century Gothic" w:hAnsi="Century Gothic"/>
          <w:i/>
          <w:sz w:val="24"/>
        </w:rPr>
        <w:t xml:space="preserve">to experience the richness of </w:t>
      </w:r>
      <w:r>
        <w:rPr>
          <w:rFonts w:ascii="Century Gothic" w:hAnsi="Century Gothic"/>
          <w:i/>
          <w:sz w:val="24"/>
        </w:rPr>
        <w:t xml:space="preserve">our local </w:t>
      </w:r>
      <w:r>
        <w:rPr>
          <w:rFonts w:ascii="Century Gothic" w:hAnsi="Century Gothic"/>
          <w:i/>
          <w:sz w:val="24"/>
        </w:rPr>
        <w:t xml:space="preserve">arts, </w:t>
      </w:r>
      <w:r>
        <w:rPr>
          <w:rFonts w:ascii="Century Gothic" w:hAnsi="Century Gothic"/>
          <w:i/>
          <w:sz w:val="24"/>
        </w:rPr>
        <w:t xml:space="preserve">arts practitioners, </w:t>
      </w:r>
      <w:r>
        <w:rPr>
          <w:rFonts w:ascii="Century Gothic" w:hAnsi="Century Gothic"/>
          <w:i/>
          <w:sz w:val="24"/>
        </w:rPr>
        <w:t>museums and libraries</w:t>
      </w:r>
      <w:r>
        <w:rPr>
          <w:rFonts w:ascii="Century Gothic" w:hAnsi="Century Gothic"/>
          <w:sz w:val="24"/>
        </w:rPr>
        <w:t xml:space="preserve">. It is essential that every effort is made to ensure that children and adults at risk of abuse can engage with the arts and culture safely, and that there are effective processes and procedures in place to respond to concerns should they arise. </w:t>
      </w:r>
    </w:p>
    <w:p>
      <w:pPr>
        <w:pStyle w:val="TextBody"/>
        <w:rPr>
          <w:rFonts w:ascii="Century Gothic" w:hAnsi="Century Gothic"/>
        </w:rPr>
      </w:pPr>
      <w:r>
        <w:rPr>
          <w:rFonts w:ascii="Century Gothic" w:hAnsi="Century Gothic"/>
          <w:sz w:val="24"/>
        </w:rPr>
        <w:t>Canopy’s</w:t>
      </w:r>
      <w:r>
        <w:rPr>
          <w:rFonts w:ascii="Century Gothic" w:hAnsi="Century Gothic"/>
          <w:sz w:val="24"/>
        </w:rPr>
        <w:t xml:space="preserve"> policy is based upon the principles enshrined within the United Nations Convention on the Rights of the Child. What this means in practice is a commitment to ensure effective safeguarding arrangements as set out in the government guidance </w:t>
      </w:r>
      <w:r>
        <w:rPr>
          <w:rFonts w:ascii="Century Gothic" w:hAnsi="Century Gothic"/>
          <w:color w:val="0000FF"/>
        </w:rPr>
        <w:t>“</w:t>
      </w:r>
      <w:r>
        <w:rPr>
          <w:rFonts w:ascii="Century Gothic" w:hAnsi="Century Gothic"/>
          <w:color w:val="0000FF"/>
          <w:sz w:val="24"/>
        </w:rPr>
        <w:t>Working Together to Safeguard Children”</w:t>
      </w:r>
      <w:r>
        <w:rPr>
          <w:rFonts w:ascii="Century Gothic" w:hAnsi="Century Gothic"/>
          <w:sz w:val="16"/>
        </w:rPr>
        <w:t xml:space="preserve">1 </w:t>
      </w:r>
      <w:r>
        <w:rPr>
          <w:rFonts w:ascii="Century Gothic" w:hAnsi="Century Gothic"/>
          <w:sz w:val="24"/>
        </w:rPr>
        <w:t xml:space="preserve">(2015) and the Care Act (2014) where children and adults at risk of abuse are concerned. </w:t>
      </w:r>
    </w:p>
    <w:p>
      <w:pPr>
        <w:pStyle w:val="TextBody"/>
        <w:rPr>
          <w:rFonts w:ascii="Century Gothic" w:hAnsi="Century Gothic"/>
          <w:sz w:val="24"/>
        </w:rPr>
      </w:pPr>
      <w:r>
        <w:rPr>
          <w:rFonts w:ascii="Century Gothic" w:hAnsi="Century Gothic"/>
          <w:sz w:val="24"/>
        </w:rPr>
        <w:t xml:space="preserve">The terms and conditions under which </w:t>
      </w:r>
      <w:r>
        <w:rPr>
          <w:rFonts w:ascii="Century Gothic" w:hAnsi="Century Gothic"/>
          <w:sz w:val="24"/>
        </w:rPr>
        <w:t>Canopy</w:t>
      </w:r>
      <w:r>
        <w:rPr>
          <w:rFonts w:ascii="Century Gothic" w:hAnsi="Century Gothic"/>
          <w:sz w:val="24"/>
        </w:rPr>
        <w:t xml:space="preserve"> provides </w:t>
      </w:r>
      <w:r>
        <w:rPr>
          <w:rFonts w:ascii="Century Gothic" w:hAnsi="Century Gothic"/>
          <w:sz w:val="24"/>
        </w:rPr>
        <w:t xml:space="preserve">local </w:t>
      </w:r>
      <w:r>
        <w:rPr>
          <w:rFonts w:ascii="Century Gothic" w:hAnsi="Century Gothic"/>
          <w:sz w:val="24"/>
        </w:rPr>
        <w:t xml:space="preserve">arts and organisations includes a mandatory requirement to adopt policies and procedures to ensure the safeguarding of children and adults at risk of abuse with whom there is direct contact. </w:t>
      </w:r>
    </w:p>
    <w:p>
      <w:pPr>
        <w:pStyle w:val="TextBody"/>
        <w:rPr>
          <w:rFonts w:ascii="Century Gothic" w:hAnsi="Century Gothic"/>
          <w:sz w:val="24"/>
        </w:rPr>
      </w:pPr>
      <w:r>
        <w:rPr>
          <w:rFonts w:ascii="Century Gothic" w:hAnsi="Century Gothic"/>
          <w:sz w:val="24"/>
        </w:rPr>
        <w:t>Canopy</w:t>
      </w:r>
      <w:r>
        <w:rPr>
          <w:rFonts w:ascii="Century Gothic" w:hAnsi="Century Gothic"/>
          <w:sz w:val="24"/>
        </w:rPr>
        <w:t xml:space="preserve"> believes that: </w:t>
      </w:r>
    </w:p>
    <w:p>
      <w:pPr>
        <w:pStyle w:val="TextBody"/>
        <w:numPr>
          <w:ilvl w:val="0"/>
          <w:numId w:val="2"/>
        </w:numPr>
        <w:tabs>
          <w:tab w:val="clear" w:pos="720"/>
          <w:tab w:val="left" w:pos="0" w:leader="none"/>
        </w:tabs>
        <w:ind w:left="707" w:hanging="283"/>
        <w:rPr>
          <w:rFonts w:ascii="Century Gothic" w:hAnsi="Century Gothic"/>
          <w:sz w:val="24"/>
        </w:rPr>
      </w:pPr>
      <w:r>
        <w:rPr>
          <w:rFonts w:ascii="Century Gothic" w:hAnsi="Century Gothic"/>
          <w:sz w:val="24"/>
        </w:rPr>
        <w:t xml:space="preserve">The welfare of a child or adult at risk is paramount; </w:t>
      </w:r>
    </w:p>
    <w:p>
      <w:pPr>
        <w:pStyle w:val="TextBody"/>
        <w:numPr>
          <w:ilvl w:val="0"/>
          <w:numId w:val="2"/>
        </w:numPr>
        <w:tabs>
          <w:tab w:val="clear" w:pos="720"/>
          <w:tab w:val="left" w:pos="0" w:leader="none"/>
        </w:tabs>
        <w:ind w:left="707" w:hanging="283"/>
        <w:rPr>
          <w:rFonts w:ascii="Century Gothic" w:hAnsi="Century Gothic"/>
          <w:sz w:val="24"/>
        </w:rPr>
      </w:pPr>
      <w:r>
        <w:rPr>
          <w:rFonts w:ascii="Century Gothic" w:hAnsi="Century Gothic"/>
          <w:sz w:val="24"/>
        </w:rPr>
        <w:t xml:space="preserve">All children and adults at risk of abuse, whatever their age, culture, disability, gender, racial origin, religious beliefs or sexual identity have the right to protection; </w:t>
      </w:r>
    </w:p>
    <w:p>
      <w:pPr>
        <w:pStyle w:val="TextBody"/>
        <w:numPr>
          <w:ilvl w:val="0"/>
          <w:numId w:val="2"/>
        </w:numPr>
        <w:tabs>
          <w:tab w:val="clear" w:pos="720"/>
          <w:tab w:val="left" w:pos="0" w:leader="none"/>
        </w:tabs>
        <w:ind w:left="707" w:hanging="283"/>
        <w:rPr>
          <w:rFonts w:ascii="Century Gothic" w:hAnsi="Century Gothic"/>
          <w:sz w:val="24"/>
        </w:rPr>
      </w:pPr>
      <w:r>
        <w:rPr>
          <w:rFonts w:ascii="Century Gothic" w:hAnsi="Century Gothic"/>
          <w:sz w:val="24"/>
        </w:rPr>
        <w:t xml:space="preserve">All concerns and allegations of abuse must be taken seriously and responded to swiftly and appropriately; and </w:t>
      </w:r>
    </w:p>
    <w:p>
      <w:pPr>
        <w:pStyle w:val="TextBody"/>
        <w:numPr>
          <w:ilvl w:val="0"/>
          <w:numId w:val="2"/>
        </w:numPr>
        <w:tabs>
          <w:tab w:val="clear" w:pos="720"/>
          <w:tab w:val="left" w:pos="0" w:leader="none"/>
        </w:tabs>
        <w:ind w:left="707" w:hanging="283"/>
        <w:rPr>
          <w:rFonts w:ascii="Century Gothic" w:hAnsi="Century Gothic"/>
          <w:sz w:val="24"/>
        </w:rPr>
      </w:pPr>
      <w:r>
        <w:rPr>
          <w:rFonts w:ascii="Century Gothic" w:hAnsi="Century Gothic"/>
          <w:sz w:val="24"/>
        </w:rPr>
        <w:t xml:space="preserve">All staff (paid or unpaid) should know how to respond to concerns. </w:t>
      </w:r>
    </w:p>
    <w:p>
      <w:pPr>
        <w:pStyle w:val="TextBody"/>
        <w:numPr>
          <w:ilvl w:val="0"/>
          <w:numId w:val="0"/>
        </w:numPr>
        <w:ind w:left="707" w:hanging="0"/>
        <w:rPr>
          <w:rFonts w:ascii="Century Gothic" w:hAnsi="Century Gothic"/>
          <w:sz w:val="24"/>
        </w:rPr>
      </w:pPr>
      <w:r>
        <w:rPr>
          <w:rFonts w:ascii="Century Gothic" w:hAnsi="Century Gothic"/>
          <w:sz w:val="24"/>
        </w:rPr>
        <w:t xml:space="preserve">Canopy </w:t>
      </w:r>
      <w:r>
        <w:rPr>
          <w:rFonts w:ascii="Century Gothic" w:hAnsi="Century Gothic"/>
          <w:sz w:val="24"/>
        </w:rPr>
        <w:t xml:space="preserve">seeks to promote a positive ethos of collaborative work between the professional arts sector and children and/or adults at risk of abuse. We will take every reasonable step to ensure that children and adults at risk of abuse are protected where: </w:t>
      </w:r>
    </w:p>
    <w:p>
      <w:pPr>
        <w:pStyle w:val="TextBody"/>
        <w:numPr>
          <w:ilvl w:val="0"/>
          <w:numId w:val="3"/>
        </w:numPr>
        <w:tabs>
          <w:tab w:val="clear" w:pos="720"/>
          <w:tab w:val="left" w:pos="0" w:leader="none"/>
        </w:tabs>
        <w:ind w:left="707" w:hanging="283"/>
        <w:rPr>
          <w:rFonts w:ascii="Century Gothic" w:hAnsi="Century Gothic"/>
          <w:sz w:val="24"/>
        </w:rPr>
      </w:pPr>
      <w:r>
        <w:rPr>
          <w:rFonts w:ascii="Century Gothic" w:hAnsi="Century Gothic"/>
          <w:sz w:val="24"/>
        </w:rPr>
        <w:t xml:space="preserve">Our own staff are in the unlikely situation of being directly involved in the delivery of an arts project; </w:t>
      </w:r>
    </w:p>
    <w:p>
      <w:pPr>
        <w:pStyle w:val="TextBody"/>
        <w:numPr>
          <w:ilvl w:val="0"/>
          <w:numId w:val="3"/>
        </w:numPr>
        <w:tabs>
          <w:tab w:val="clear" w:pos="720"/>
          <w:tab w:val="left" w:pos="0" w:leader="none"/>
        </w:tabs>
        <w:ind w:left="707" w:hanging="283"/>
        <w:rPr>
          <w:rFonts w:ascii="Century Gothic" w:hAnsi="Century Gothic"/>
          <w:sz w:val="24"/>
        </w:rPr>
      </w:pPr>
      <w:r>
        <w:rPr>
          <w:rFonts w:ascii="Century Gothic" w:hAnsi="Century Gothic"/>
          <w:sz w:val="24"/>
        </w:rPr>
        <w:t xml:space="preserve">Our staff recruit or broker relationships between an artist or arts facilitator and a third party; and/or </w:t>
      </w:r>
    </w:p>
    <w:p>
      <w:pPr>
        <w:pStyle w:val="TextBody"/>
        <w:numPr>
          <w:ilvl w:val="0"/>
          <w:numId w:val="3"/>
        </w:numPr>
        <w:tabs>
          <w:tab w:val="clear" w:pos="720"/>
          <w:tab w:val="left" w:pos="0" w:leader="none"/>
        </w:tabs>
        <w:ind w:left="707" w:hanging="283"/>
        <w:rPr>
          <w:rFonts w:ascii="Century Gothic" w:hAnsi="Century Gothic"/>
          <w:sz w:val="24"/>
        </w:rPr>
      </w:pPr>
      <w:r>
        <w:rPr>
          <w:rFonts w:ascii="Century Gothic" w:hAnsi="Century Gothic"/>
          <w:sz w:val="24"/>
        </w:rPr>
        <w:t xml:space="preserve">We fund an arts/cultural organisation for a programme of work, or for core work. </w:t>
      </w:r>
    </w:p>
    <w:p>
      <w:pPr>
        <w:pStyle w:val="TextBody"/>
        <w:numPr>
          <w:ilvl w:val="0"/>
          <w:numId w:val="0"/>
        </w:numPr>
        <w:ind w:left="707" w:hanging="0"/>
        <w:rPr>
          <w:rFonts w:ascii="Century Gothic" w:hAnsi="Century Gothic"/>
          <w:sz w:val="24"/>
        </w:rPr>
      </w:pPr>
      <w:r>
        <w:rPr>
          <w:rFonts w:ascii="Century Gothic" w:hAnsi="Century Gothic"/>
          <w:sz w:val="24"/>
        </w:rPr>
        <w:t xml:space="preserve">In relation to safeguarding and protection from abuse, a child is defined as anyone who has not yet reached the age of 18. An adult at risk of abuse is defined by the Care Act (2014) as someone who is experiencing or at risk of abuse and has needs </w:t>
      </w:r>
    </w:p>
    <w:p>
      <w:pPr>
        <w:pStyle w:val="TextBody"/>
        <w:rPr>
          <w:rFonts w:ascii="Century Gothic" w:hAnsi="Century Gothic"/>
        </w:rPr>
      </w:pPr>
      <w:r>
        <w:rPr>
          <w:rFonts w:ascii="Century Gothic" w:hAnsi="Century Gothic"/>
          <w:sz w:val="12"/>
        </w:rPr>
        <w:t xml:space="preserve">1 </w:t>
      </w:r>
      <w:r>
        <w:rPr>
          <w:rFonts w:ascii="Century Gothic" w:hAnsi="Century Gothic"/>
          <w:sz w:val="20"/>
        </w:rPr>
        <w:t xml:space="preserve">https://www.gov.uk/government/publications/working-together-to-safeguard-children--2 </w:t>
      </w:r>
    </w:p>
    <w:p>
      <w:pPr>
        <w:pStyle w:val="TextBody"/>
        <w:rPr>
          <w:rFonts w:ascii="Century Gothic" w:hAnsi="Century Gothic"/>
          <w:sz w:val="24"/>
        </w:rPr>
      </w:pPr>
      <w:r>
        <w:rPr>
          <w:rFonts w:ascii="Century Gothic" w:hAnsi="Century Gothic"/>
          <w:sz w:val="24"/>
        </w:rPr>
        <w:t xml:space="preserve">for care and support which means that they are unable to protect themselves against the abuse or neglect or the risk of it. </w:t>
      </w:r>
    </w:p>
    <w:p>
      <w:pPr>
        <w:pStyle w:val="TextBody"/>
        <w:rPr>
          <w:rFonts w:ascii="Century Gothic" w:hAnsi="Century Gothic"/>
          <w:sz w:val="24"/>
        </w:rPr>
      </w:pPr>
      <w:r>
        <w:rPr>
          <w:rFonts w:ascii="Century Gothic" w:hAnsi="Century Gothic"/>
          <w:sz w:val="24"/>
        </w:rPr>
        <w:t xml:space="preserve">It is the responsibility of the organisations funded by </w:t>
      </w:r>
      <w:r>
        <w:rPr>
          <w:rFonts w:ascii="Century Gothic" w:hAnsi="Century Gothic"/>
          <w:sz w:val="24"/>
        </w:rPr>
        <w:t>Canopy</w:t>
      </w:r>
      <w:r>
        <w:rPr>
          <w:rFonts w:ascii="Century Gothic" w:hAnsi="Century Gothic"/>
          <w:sz w:val="24"/>
        </w:rPr>
        <w:t xml:space="preserve"> to ensure that their safeguarding policies and procedures are fit for purpose given the specific nature of their work and the manner in which it is conducted and to provide copies of policies and procedures on request. </w:t>
      </w:r>
    </w:p>
    <w:p>
      <w:pPr>
        <w:pStyle w:val="TextBody"/>
        <w:rPr>
          <w:rFonts w:ascii="Century Gothic" w:hAnsi="Century Gothic"/>
        </w:rPr>
      </w:pPr>
      <w:r>
        <w:rPr>
          <w:rFonts w:ascii="Century Gothic" w:hAnsi="Century Gothic"/>
          <w:sz w:val="24"/>
        </w:rPr>
        <w:t>We refer to t</w:t>
      </w:r>
      <w:r>
        <w:rPr>
          <w:rFonts w:ascii="Century Gothic" w:hAnsi="Century Gothic"/>
          <w:sz w:val="24"/>
        </w:rPr>
        <w:t xml:space="preserve">he National Society for the Prevention of Cruelty to Children (NSPCC) </w:t>
      </w:r>
      <w:r>
        <w:rPr>
          <w:rFonts w:ascii="Century Gothic" w:hAnsi="Century Gothic"/>
          <w:color w:val="0000FF"/>
          <w:sz w:val="24"/>
        </w:rPr>
        <w:t>website</w:t>
      </w:r>
      <w:r>
        <w:rPr>
          <w:rFonts w:ascii="Century Gothic" w:hAnsi="Century Gothic"/>
          <w:sz w:val="16"/>
        </w:rPr>
        <w:t xml:space="preserve">2 </w:t>
      </w:r>
      <w:r>
        <w:rPr>
          <w:rFonts w:ascii="Century Gothic" w:hAnsi="Century Gothic"/>
          <w:sz w:val="24"/>
          <w:szCs w:val="24"/>
        </w:rPr>
        <w:t>and use</w:t>
      </w:r>
      <w:r>
        <w:rPr>
          <w:rFonts w:ascii="Century Gothic" w:hAnsi="Century Gothic"/>
          <w:sz w:val="16"/>
        </w:rPr>
        <w:t xml:space="preserve"> </w:t>
      </w:r>
      <w:r>
        <w:rPr>
          <w:rFonts w:ascii="Century Gothic" w:hAnsi="Century Gothic"/>
          <w:sz w:val="24"/>
          <w:szCs w:val="24"/>
        </w:rPr>
        <w:t xml:space="preserve">their </w:t>
      </w:r>
      <w:r>
        <w:rPr>
          <w:rFonts w:ascii="Century Gothic" w:hAnsi="Century Gothic"/>
          <w:sz w:val="24"/>
        </w:rPr>
        <w:t xml:space="preserve">resource library to assist in the development and implementation of good practice safeguarding </w:t>
      </w:r>
      <w:r>
        <w:rPr>
          <w:rFonts w:ascii="Century Gothic" w:hAnsi="Century Gothic"/>
          <w:sz w:val="24"/>
        </w:rPr>
        <w:t xml:space="preserve">our </w:t>
      </w:r>
      <w:r>
        <w:rPr>
          <w:rFonts w:ascii="Century Gothic" w:hAnsi="Century Gothic"/>
          <w:sz w:val="24"/>
        </w:rPr>
        <w:t xml:space="preserve">policies and procedures. </w:t>
      </w:r>
    </w:p>
    <w:p>
      <w:pPr>
        <w:pStyle w:val="TextBody"/>
        <w:rPr>
          <w:rFonts w:ascii="Century Gothic" w:hAnsi="Century Gothic"/>
          <w:sz w:val="24"/>
        </w:rPr>
      </w:pPr>
      <w:r>
        <w:rPr>
          <w:rFonts w:ascii="Century Gothic" w:hAnsi="Century Gothic"/>
          <w:sz w:val="24"/>
        </w:rPr>
        <w:t>1 Febuary 2022</w:t>
      </w:r>
    </w:p>
    <w:p>
      <w:pPr>
        <w:pStyle w:val="TextBody"/>
        <w:rPr>
          <w:rFonts w:ascii="Century Gothic" w:hAnsi="Century Gothic"/>
        </w:rPr>
      </w:pPr>
      <w:r>
        <w:rPr>
          <w:rFonts w:ascii="Century Gothic" w:hAnsi="Century Gothic"/>
          <w:sz w:val="12"/>
        </w:rPr>
        <w:t xml:space="preserve">2 </w:t>
      </w:r>
      <w:r>
        <w:rPr>
          <w:rFonts w:ascii="Century Gothic" w:hAnsi="Century Gothic"/>
          <w:sz w:val="20"/>
        </w:rPr>
        <w:t xml:space="preserve">https://www.nspcc.org.uk/services-and-resources/research-and-resources/ </w:t>
      </w:r>
    </w:p>
    <w:p>
      <w:pPr>
        <w:pStyle w:val="Normal"/>
        <w:rPr>
          <w:rFonts w:ascii="Century Gothic" w:hAnsi="Century Gothic"/>
        </w:rPr>
      </w:pPr>
      <w:r>
        <w:rPr>
          <w:rFonts w:ascii="Century Gothic" w:hAnsi="Century Gothic"/>
        </w:rPr>
      </w:r>
    </w:p>
    <w:sectPr>
      <w:type w:val="nextPage"/>
      <w:pgSz w:w="11906" w:h="16838"/>
      <w:pgMar w:left="1134" w:right="1134" w:header="0" w:top="1134" w:footer="0" w:bottom="1134" w:gutter="0"/>
      <w:pgNumType w:fmt="decimal"/>
      <w:formProt w:val="false"/>
      <w:textDirection w:val="lrTb"/>
      <w:docGrid w:type="default" w:linePitch="312" w:charSpace="20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entury Gothic">
    <w:charset w:val="01"/>
    <w:family w:val="swiss"/>
    <w:pitch w:val="variable"/>
  </w:font>
  <w:font w:name="OpenSymbol">
    <w:altName w:val="Arial Unicode MS"/>
    <w:charset w:val="02"/>
    <w:family w:val="auto"/>
    <w:pitch w:val="default"/>
  </w:font>
  <w:font w:name="Liberation Sans">
    <w:altName w:val="Arial"/>
    <w:charset w:val="01"/>
    <w:family w:val="swiss"/>
    <w:pitch w:val="variable"/>
  </w:font>
  <w:font w:name="@ÌÆ·˛">
    <w:charset w:val="01"/>
    <w:family w:val="swiss"/>
    <w:pitch w:val="variable"/>
  </w:font>
  <w:font w:name="Wingdings">
    <w:charset w:val="02"/>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pStyle w:val="Heading4"/>
      <w:numFmt w:val="none"/>
      <w:suff w:val="nothing"/>
      <w:lvlText w:val=""/>
      <w:lvlJc w:val="left"/>
      <w:pPr>
        <w:tabs>
          <w:tab w:val="num" w:pos="864"/>
        </w:tabs>
        <w:ind w:left="864" w:hanging="864"/>
      </w:pPr>
    </w:lvl>
    <w:lvl w:ilvl="4">
      <w:start w:val="1"/>
      <w:pStyle w:val="Heading5"/>
      <w:numFmt w:val="none"/>
      <w:suff w:val="nothing"/>
      <w:lvlText w:val=""/>
      <w:lvlJc w:val="left"/>
      <w:pPr>
        <w:tabs>
          <w:tab w:val="num" w:pos="1008"/>
        </w:tabs>
        <w:ind w:left="1008" w:hanging="1008"/>
      </w:pPr>
    </w:lvl>
    <w:lvl w:ilvl="5">
      <w:start w:val="1"/>
      <w:pStyle w:val="Heading6"/>
      <w:numFmt w:val="none"/>
      <w:suff w:val="nothing"/>
      <w:lvlText w:val=""/>
      <w:lvlJc w:val="left"/>
      <w:pPr>
        <w:tabs>
          <w:tab w:val="num" w:pos="1152"/>
        </w:tabs>
        <w:ind w:left="1152" w:hanging="1152"/>
      </w:pPr>
    </w:lvl>
    <w:lvl w:ilvl="6">
      <w:start w:val="1"/>
      <w:pStyle w:val="Heading7"/>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tabs>
          <w:tab w:val="num" w:pos="707"/>
        </w:tabs>
        <w:ind w:left="707" w:hanging="283"/>
      </w:pPr>
      <w:rPr>
        <w:rFonts w:ascii="Wingdings" w:hAnsi="Wingdings" w:cs="Wingdings"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3">
    <w:lvl w:ilvl="0">
      <w:start w:val="1"/>
      <w:numFmt w:val="bullet"/>
      <w:lvlText w:val=""/>
      <w:lvlJc w:val="left"/>
      <w:pPr>
        <w:tabs>
          <w:tab w:val="num" w:pos="707"/>
        </w:tabs>
        <w:ind w:left="707" w:hanging="283"/>
      </w:pPr>
      <w:rPr>
        <w:rFonts w:ascii="Wingdings" w:hAnsi="Wingdings" w:cs="Wingdings"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6"/>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ans CN Regular" w:cs="Lohit Devanagari"/>
        <w:kern w:val="2"/>
        <w:sz w:val="24"/>
        <w:szCs w:val="24"/>
        <w:lang w:val="en-GB" w:eastAsia="en-GB" w:bidi="en-GB"/>
      </w:rPr>
    </w:rPrDefault>
    <w:pPrDefault>
      <w:pPr/>
    </w:pPrDefault>
  </w:docDefaults>
  <w:style w:type="paragraph" w:styleId="Normal">
    <w:name w:val="Normal"/>
    <w:qFormat/>
    <w:pPr>
      <w:widowControl w:val="false"/>
      <w:kinsoku w:val="true"/>
      <w:overflowPunct w:val="true"/>
      <w:autoSpaceDE w:val="true"/>
      <w:bidi w:val="0"/>
    </w:pPr>
    <w:rPr>
      <w:rFonts w:ascii="Century Gothic" w:hAnsi="Century Gothic" w:eastAsia="Source Han Sans CN Regular" w:cs="Lohit Devanagari"/>
      <w:color w:val="auto"/>
      <w:kern w:val="2"/>
      <w:sz w:val="20"/>
      <w:szCs w:val="20"/>
      <w:lang w:val="en-GB" w:eastAsia="en-GB" w:bidi="en-GB"/>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3">
    <w:name w:val="Heading 3"/>
    <w:basedOn w:val="Heading"/>
    <w:next w:val="TextBody"/>
    <w:qFormat/>
    <w:pPr>
      <w:numPr>
        <w:ilvl w:val="2"/>
        <w:numId w:val="1"/>
      </w:numPr>
      <w:spacing w:before="140" w:after="120"/>
      <w:outlineLvl w:val="2"/>
    </w:pPr>
    <w:rPr>
      <w:b/>
      <w:bCs/>
      <w:sz w:val="28"/>
      <w:szCs w:val="28"/>
    </w:rPr>
  </w:style>
  <w:style w:type="paragraph" w:styleId="Heading4">
    <w:name w:val="Heading 4"/>
    <w:basedOn w:val="Heading"/>
    <w:next w:val="TextBody"/>
    <w:qFormat/>
    <w:pPr>
      <w:numPr>
        <w:ilvl w:val="3"/>
        <w:numId w:val="1"/>
      </w:numPr>
      <w:spacing w:before="120" w:after="120"/>
      <w:outlineLvl w:val="3"/>
    </w:pPr>
    <w:rPr>
      <w:b/>
      <w:bCs/>
      <w:i/>
      <w:iCs/>
      <w:sz w:val="27"/>
      <w:szCs w:val="27"/>
    </w:rPr>
  </w:style>
  <w:style w:type="paragraph" w:styleId="Heading5">
    <w:name w:val="Heading 5"/>
    <w:basedOn w:val="Heading"/>
    <w:next w:val="TextBody"/>
    <w:qFormat/>
    <w:pPr>
      <w:numPr>
        <w:ilvl w:val="4"/>
        <w:numId w:val="1"/>
      </w:numPr>
      <w:spacing w:before="120" w:after="60"/>
      <w:outlineLvl w:val="4"/>
    </w:pPr>
    <w:rPr>
      <w:b/>
      <w:bCs/>
      <w:sz w:val="24"/>
      <w:szCs w:val="24"/>
    </w:rPr>
  </w:style>
  <w:style w:type="paragraph" w:styleId="Heading6">
    <w:name w:val="Heading 6"/>
    <w:basedOn w:val="Heading"/>
    <w:next w:val="TextBody"/>
    <w:qFormat/>
    <w:pPr>
      <w:numPr>
        <w:ilvl w:val="5"/>
        <w:numId w:val="1"/>
      </w:numPr>
      <w:spacing w:before="60" w:after="60"/>
      <w:outlineLvl w:val="5"/>
    </w:pPr>
    <w:rPr>
      <w:b/>
      <w:bCs/>
      <w:i/>
      <w:iCs/>
      <w:sz w:val="24"/>
      <w:szCs w:val="24"/>
    </w:rPr>
  </w:style>
  <w:style w:type="paragraph" w:styleId="Heading7">
    <w:name w:val="Heading 7"/>
    <w:basedOn w:val="Heading"/>
    <w:next w:val="TextBody"/>
    <w:qFormat/>
    <w:pPr>
      <w:numPr>
        <w:ilvl w:val="6"/>
        <w:numId w:val="1"/>
      </w:numPr>
      <w:spacing w:before="60" w:after="60"/>
      <w:outlineLvl w:val="6"/>
    </w:pPr>
    <w:rPr>
      <w:b/>
      <w:bCs/>
      <w:sz w:val="22"/>
      <w:szCs w:val="22"/>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Source Han Sans CN Regular"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Quotations">
    <w:name w:val="Quotations"/>
    <w:basedOn w:val="Normal"/>
    <w:qFormat/>
    <w:pPr>
      <w:spacing w:before="0" w:after="283"/>
      <w:ind w:left="567" w:right="567" w:hanging="0"/>
    </w:pPr>
    <w:rPr/>
  </w:style>
  <w:style w:type="paragraph" w:styleId="Title">
    <w:name w:val="Title"/>
    <w:basedOn w:val="Heading"/>
    <w:next w:val="TextBody"/>
    <w:qFormat/>
    <w:pPr>
      <w:jc w:val="center"/>
    </w:pPr>
    <w:rPr>
      <w:b/>
      <w:bCs/>
      <w:sz w:val="56"/>
      <w:szCs w:val="56"/>
    </w:rPr>
  </w:style>
  <w:style w:type="paragraph" w:styleId="Subtitle">
    <w:name w:val="Subtitle"/>
    <w:basedOn w:val="Heading"/>
    <w:next w:val="TextBody"/>
    <w:qFormat/>
    <w:pPr>
      <w:spacing w:before="60" w:after="120"/>
      <w:jc w:val="center"/>
    </w:pPr>
    <w:rPr>
      <w:sz w:val="36"/>
      <w:szCs w:val="3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Default</Template>
  <TotalTime>4</TotalTime>
  <Application>LibreOffice/6.1.2.1$MacOSX_X86_64 LibreOffice_project/65905a128db06ba48db947242809d14d3f9a93fe</Application>
  <Pages>2</Pages>
  <Words>524</Words>
  <Characters>2727</Characters>
  <CharactersWithSpaces>3239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2022-02-01T10:11:00Z</dcterms:created>
  <dc:creator/>
  <dc:description/>
  <dc:language>en-GB</dc:language>
  <cp:lastModifiedBy/>
  <dcterms:modified xsi:type="dcterms:W3CDTF">2022-02-01T10:56:45Z</dcterms:modified>
  <cp:revision>2</cp:revision>
  <dc:subject/>
  <dc:title>Default</dc:title>
</cp:coreProperties>
</file>